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88"/>
        <w:pBdr/>
        <w:spacing/>
        <w:ind/>
        <w:rPr/>
      </w:pPr>
      <w:r>
        <w:t xml:space="preserve">GlobalFinanceGuarantee – Client &amp; Partner Fee Structure</w:t>
      </w:r>
      <w:r/>
    </w:p>
    <w:p>
      <w:pPr>
        <w:pStyle w:val="789"/>
        <w:pBdr/>
        <w:spacing/>
        <w:ind/>
        <w:rPr/>
      </w:pPr>
      <w:r>
        <w:t xml:space="preserve">Client Fee Structure</w:t>
      </w:r>
      <w:r/>
    </w:p>
    <w:p>
      <w:pPr>
        <w:pBdr/>
        <w:spacing/>
        <w:ind/>
        <w:rPr/>
      </w:pPr>
      <w:r>
        <w:t xml:space="preserve">Fees charged to clients based on the instrument amount. Upfront fees are payable prior to instrument issuance, and after-guarantee fees are payable upon successful delivery of the instrument via SWIFT.</w:t>
      </w:r>
      <w:r/>
    </w:p>
    <w:p>
      <w:pPr>
        <w:pBdr/>
        <w:spacing/>
        <w:ind/>
        <w:rPr/>
      </w:pPr>
      <w:r>
        <w:t xml:space="preserve">Instrument Amount – Upfront Fee: Upfront Fee % | After-Guarantee Fee: After-Guarantee Fee %</w:t>
      </w:r>
      <w:r/>
    </w:p>
    <w:p>
      <w:pPr>
        <w:pBdr/>
        <w:spacing/>
        <w:ind/>
        <w:rPr/>
      </w:pPr>
      <w:r>
        <w:rPr>
          <w:lang w:val="en"/>
        </w:rPr>
        <w:t xml:space="preserve">FROM</w:t>
      </w:r>
      <w:r>
        <w:t xml:space="preserve"> $10,000 – Upfront Fee: 6% | After-Guarantee Fee: 0%</w:t>
      </w:r>
      <w:r/>
    </w:p>
    <w:p>
      <w:pPr>
        <w:pBdr/>
        <w:spacing/>
        <w:ind/>
        <w:rPr/>
      </w:pPr>
      <w:r>
        <w:t xml:space="preserve">$100,000 and above – Upfront Fee: 3% | After-Guarantee Fee: 3%</w:t>
      </w:r>
      <w:r/>
    </w:p>
    <w:p>
      <w:pPr>
        <w:pBdr/>
        <w:spacing/>
        <w:ind/>
        <w:rPr/>
      </w:pPr>
      <w:r>
        <w:t xml:space="preserve">$1,000,000 and above – Upfront Fee: 1.5% | After-Guarantee Fee: 4.5%</w:t>
      </w:r>
      <w:r/>
    </w:p>
    <w:p>
      <w:pPr>
        <w:pBdr/>
        <w:spacing/>
        <w:ind/>
        <w:rPr/>
      </w:pPr>
      <w:r>
        <w:t xml:space="preserve">Up to $10,000,000 – Upfront Fee: 1% | After-Guarantee Fee: 3%</w:t>
      </w:r>
      <w:r/>
    </w:p>
    <w:p>
      <w:pPr>
        <w:pBdr/>
        <w:spacing/>
        <w:ind/>
        <w:rPr/>
      </w:pPr>
      <w:r>
        <w:t xml:space="preserve">Above $10,000,000 – Upfront Fee: 0.6% | After-Guarantee Fee: 2.4%</w:t>
      </w:r>
      <w:r/>
    </w:p>
    <w:p>
      <w:pPr>
        <w:pStyle w:val="789"/>
        <w:pBdr/>
        <w:spacing/>
        <w:ind/>
        <w:rPr/>
      </w:pPr>
      <w:r>
        <w:t xml:space="preserve">Partner Commission Rates</w:t>
      </w:r>
      <w:r/>
    </w:p>
    <w:p>
      <w:pPr>
        <w:pBdr/>
        <w:spacing/>
        <w:ind/>
        <w:rPr/>
      </w:pPr>
      <w:r>
        <w:t xml:space="preserve">Your share of fees is based on your total monthly volume of successfully closed transactions.</w:t>
      </w:r>
      <w:r/>
    </w:p>
    <w:p>
      <w:pPr>
        <w:pBdr/>
        <w:spacing/>
        <w:ind/>
        <w:rPr/>
      </w:pPr>
      <w:r>
        <w:t xml:space="preserve">Monthly Volume – Upfront Commission: Upfront Commission % | After-Guarantee Commission: After-Guarantee Commission %</w:t>
      </w:r>
      <w:r/>
    </w:p>
    <w:p>
      <w:pPr>
        <w:pBdr/>
        <w:spacing/>
        <w:ind/>
        <w:rPr/>
      </w:pPr>
      <w:r>
        <w:t xml:space="preserve">Up to $10M – Upfront Commission: 20% | After-Guarantee Commission: 10%</w:t>
      </w:r>
      <w:r/>
    </w:p>
    <w:p>
      <w:pPr>
        <w:pBdr/>
        <w:spacing/>
        <w:ind/>
        <w:rPr/>
      </w:pPr>
      <w:r>
        <w:t xml:space="preserve">$10M to $25M – Upfront Commission: 25% | After-Guarantee Commission: 15%</w:t>
      </w:r>
      <w:r/>
    </w:p>
    <w:p>
      <w:pPr>
        <w:pBdr/>
        <w:spacing/>
        <w:ind/>
        <w:rPr/>
      </w:pPr>
      <w:r>
        <w:t xml:space="preserve">Above $25M – Upfront Commission: 30% | After-Guarantee Commission: 20%</w:t>
      </w:r>
      <w:r/>
    </w:p>
    <w:p>
      <w:pPr>
        <w:pStyle w:val="789"/>
        <w:pBdr/>
        <w:spacing/>
        <w:ind/>
        <w:rPr/>
      </w:pPr>
      <w:r>
        <w:t xml:space="preserve">Notes</w:t>
      </w:r>
      <w:r/>
    </w:p>
    <w:p>
      <w:pPr>
        <w:pBdr/>
        <w:spacing/>
        <w:ind/>
        <w:rPr/>
      </w:pPr>
      <w:r>
        <w:t xml:space="preserve">• All fees and commissions are calculated based on the net transaction amount.</w:t>
      </w:r>
      <w:r>
        <w:br/>
      </w:r>
      <w:r>
        <w:t xml:space="preserve">• Upfront fees must be received before processing commences.</w:t>
      </w:r>
      <w:r>
        <w:br/>
      </w:r>
      <w:r>
        <w:t xml:space="preserve">• After-guarantee fees are due upon confirmed delivery of the instrument.</w:t>
      </w:r>
      <w:r>
        <w:br/>
      </w:r>
      <w:r>
        <w:t xml:space="preserve">• Commissions are paid within 5 business days after GFG receives cleared funds from the client.</w:t>
      </w:r>
      <w:r/>
    </w:p>
    <w:p>
      <w:pPr>
        <w:pStyle w:val="789"/>
        <w:pBdr/>
        <w:spacing/>
        <w:ind/>
        <w:rPr/>
      </w:pPr>
      <w:r>
        <w:t xml:space="preserve">Contact for Fee &amp; Commission Queries</w:t>
      </w:r>
      <w:r/>
    </w:p>
    <w:p>
      <w:pPr>
        <w:pBdr/>
        <w:spacing/>
        <w:ind/>
        <w:rPr/>
      </w:pPr>
      <w:r>
        <w:t xml:space="preserve">📧 Email: partners@globalfinanceguarantee.com</w:t>
      </w:r>
      <w:r>
        <w:br/>
      </w:r>
      <w:r>
        <w:t xml:space="preserve">🌐 Website: www.globalfinanceguarantee.com</w:t>
      </w:r>
      <w:r>
        <w:br/>
      </w:r>
      <w:r>
        <w:t xml:space="preserve">📞 Phone: +44 7458 114948</w:t>
      </w:r>
      <w:r/>
    </w:p>
    <w:sectPr>
      <w:headerReference w:type="default" r:id="rId9"/>
      <w:footerReference w:type="default" r:id="rId10"/>
      <w:footnotePr/>
      <w:endnotePr/>
      <w:type w:val="nextPage"/>
      <w:pgSz w:h="15840" w:orient="portrait" w:w="12240"/>
      <w:pgMar w:top="1440" w:right="1800" w:bottom="1440" w:left="180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">
    <w:panose1 w:val="050401020108070707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98"/>
      <w:tblW w:w="0" w:type="auto"/>
      <w:tblBorders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>
      <w:trPr>
        <w:trHeight w:val="300"/>
      </w:trPr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/>
            <w:jc w:val="center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786"/>
      <w:pBdr/>
      <w:bidi w:val="false"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98"/>
      <w:tblW w:w="0" w:type="auto"/>
      <w:tblBorders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>
      <w:trPr>
        <w:trHeight w:val="300"/>
      </w:trPr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Bdr/>
            <w:bidi w:val="false"/>
            <w:spacing/>
            <w:ind/>
            <w:jc w:val="center"/>
            <w:rPr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57200" cy="457200"/>
                    <wp:effectExtent l="0" t="0" r="0" b="0"/>
                    <wp:docPr id="1" name="drawi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38204751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 rot="0"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6.00pt;height:36.00pt;mso-wrap-distance-left:0.00pt;mso-wrap-distance-top:0.00pt;mso-wrap-distance-right:0.00pt;mso-wrap-distance-bottom:0.00pt;rotation:0;z-index:1;" stroked="false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784"/>
      <w:pBdr/>
      <w:bidi w:val="false"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lvl w:ilvl="0">
      <w:isLgl w:val="false"/>
      <w:lvlJc w:val="left"/>
      <w:lvlText w:val="%1."/>
      <w:numFmt w:val="decimal"/>
      <w:pPr>
        <w:pBdr/>
        <w:tabs>
          <w:tab w:val="num" w:leader="none" w:pos="1800"/>
        </w:tabs>
        <w:spacing/>
        <w:ind w:hanging="360" w:left="1800"/>
      </w:pPr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1">
    <w:nsid w:val="FFFFFF7D"/>
    <w:lvl w:ilvl="0">
      <w:isLgl w:val="false"/>
      <w:lvlJc w:val="left"/>
      <w:lvlText w:val="%1."/>
      <w:numFmt w:val="decimal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2">
    <w:nsid w:val="FFFFFF7E"/>
    <w:lvl w:ilvl="0">
      <w:isLgl w:val="false"/>
      <w:lvlJc w:val="left"/>
      <w:lvlText w:val="%1."/>
      <w:numFmt w:val="decimal"/>
      <w:pPr>
        <w:pBdr/>
        <w:tabs>
          <w:tab w:val="num" w:leader="none" w:pos="1080"/>
        </w:tabs>
        <w:spacing/>
        <w:ind w:hanging="360" w:left="1080"/>
      </w:pPr>
      <w:pStyle w:val="823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3">
    <w:nsid w:val="FFFFFF7F"/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pStyle w:val="822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4">
    <w:nsid w:val="FFFFFF81"/>
    <w:lvl w:ilvl="0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5">
    <w:nsid w:val="FFFFFF82"/>
    <w:lvl w:ilvl="0">
      <w:isLgl w:val="false"/>
      <w:lvlJc w:val="left"/>
      <w:lvlText w:val=""/>
      <w:numFmt w:val="bullet"/>
      <w:pPr>
        <w:pBdr/>
        <w:tabs>
          <w:tab w:val="num" w:leader="none" w:pos="1080"/>
        </w:tabs>
        <w:spacing/>
        <w:ind w:hanging="360" w:left="1080"/>
      </w:pPr>
      <w:pStyle w:val="820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6">
    <w:nsid w:val="FFFFFF83"/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pStyle w:val="819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7">
    <w:nsid w:val="FFFFFF88"/>
    <w:lvl w:ilvl="0">
      <w:isLgl w:val="false"/>
      <w:lvlJc w:val="left"/>
      <w:lvlText w:val="%1."/>
      <w:numFmt w:val="decimal"/>
      <w:pPr>
        <w:pBdr/>
        <w:tabs>
          <w:tab w:val="num" w:leader="none" w:pos="360"/>
        </w:tabs>
        <w:spacing/>
        <w:ind w:hanging="360" w:left="360"/>
      </w:pPr>
      <w:pStyle w:val="821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8">
    <w:nsid w:val="FFFFFF89"/>
    <w:lvl w:ilvl="0">
      <w:isLgl w:val="false"/>
      <w:lvlJc w:val="left"/>
      <w:lvlText w:val=""/>
      <w:numFmt w:val="bullet"/>
      <w:pPr>
        <w:pBdr/>
        <w:tabs>
          <w:tab w:val="num" w:leader="none" w:pos="360"/>
        </w:tabs>
        <w:spacing/>
        <w:ind w:hanging="360" w:left="360"/>
      </w:pPr>
      <w:pStyle w:val="818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3">
    <w:name w:val="Table Grid Light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81">
    <w:name w:val="footnote text"/>
    <w:basedOn w:val="783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797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797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783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797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797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797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79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783"/>
    <w:next w:val="783"/>
    <w:uiPriority w:val="39"/>
    <w:unhideWhenUsed/>
    <w:pPr>
      <w:pBdr/>
      <w:spacing w:after="100"/>
      <w:ind/>
    </w:pPr>
  </w:style>
  <w:style w:type="paragraph" w:styleId="190">
    <w:name w:val="toc 2"/>
    <w:basedOn w:val="783"/>
    <w:next w:val="783"/>
    <w:uiPriority w:val="39"/>
    <w:unhideWhenUsed/>
    <w:pPr>
      <w:pBdr/>
      <w:spacing w:after="100"/>
      <w:ind w:left="220"/>
    </w:pPr>
  </w:style>
  <w:style w:type="paragraph" w:styleId="191">
    <w:name w:val="toc 3"/>
    <w:basedOn w:val="783"/>
    <w:next w:val="783"/>
    <w:uiPriority w:val="39"/>
    <w:unhideWhenUsed/>
    <w:pPr>
      <w:pBdr/>
      <w:spacing w:after="100"/>
      <w:ind w:left="440"/>
    </w:pPr>
  </w:style>
  <w:style w:type="paragraph" w:styleId="192">
    <w:name w:val="toc 4"/>
    <w:basedOn w:val="783"/>
    <w:next w:val="783"/>
    <w:uiPriority w:val="39"/>
    <w:unhideWhenUsed/>
    <w:pPr>
      <w:pBdr/>
      <w:spacing w:after="100"/>
      <w:ind w:left="660"/>
    </w:pPr>
  </w:style>
  <w:style w:type="paragraph" w:styleId="193">
    <w:name w:val="toc 5"/>
    <w:basedOn w:val="783"/>
    <w:next w:val="783"/>
    <w:uiPriority w:val="39"/>
    <w:unhideWhenUsed/>
    <w:pPr>
      <w:pBdr/>
      <w:spacing w:after="100"/>
      <w:ind w:left="880"/>
    </w:pPr>
  </w:style>
  <w:style w:type="paragraph" w:styleId="194">
    <w:name w:val="toc 6"/>
    <w:basedOn w:val="783"/>
    <w:next w:val="783"/>
    <w:uiPriority w:val="39"/>
    <w:unhideWhenUsed/>
    <w:pPr>
      <w:pBdr/>
      <w:spacing w:after="100"/>
      <w:ind w:left="1100"/>
    </w:pPr>
  </w:style>
  <w:style w:type="paragraph" w:styleId="195">
    <w:name w:val="toc 7"/>
    <w:basedOn w:val="783"/>
    <w:next w:val="783"/>
    <w:uiPriority w:val="39"/>
    <w:unhideWhenUsed/>
    <w:pPr>
      <w:pBdr/>
      <w:spacing w:after="100"/>
      <w:ind w:left="1320"/>
    </w:pPr>
  </w:style>
  <w:style w:type="paragraph" w:styleId="196">
    <w:name w:val="toc 8"/>
    <w:basedOn w:val="783"/>
    <w:next w:val="783"/>
    <w:uiPriority w:val="39"/>
    <w:unhideWhenUsed/>
    <w:pPr>
      <w:pBdr/>
      <w:spacing w:after="100"/>
      <w:ind w:left="1540"/>
    </w:pPr>
  </w:style>
  <w:style w:type="paragraph" w:styleId="197">
    <w:name w:val="toc 9"/>
    <w:basedOn w:val="783"/>
    <w:next w:val="783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797"/>
    <w:uiPriority w:val="99"/>
    <w:semiHidden/>
    <w:pPr>
      <w:pBdr/>
      <w:spacing/>
      <w:ind/>
    </w:pPr>
    <w:rPr>
      <w:color w:val="666666"/>
    </w:rPr>
  </w:style>
  <w:style w:type="paragraph" w:styleId="209">
    <w:name w:val="table of figures"/>
    <w:basedOn w:val="783"/>
    <w:next w:val="783"/>
    <w:uiPriority w:val="99"/>
    <w:unhideWhenUsed/>
    <w:pPr>
      <w:pBdr/>
      <w:spacing w:after="0" w:afterAutospacing="0"/>
      <w:ind/>
    </w:pPr>
  </w:style>
  <w:style w:type="paragraph" w:styleId="783" w:default="1">
    <w:name w:val="Normal"/>
    <w:qFormat/>
    <w:pPr>
      <w:pBdr/>
      <w:spacing/>
      <w:ind/>
    </w:pPr>
  </w:style>
  <w:style w:type="paragraph" w:styleId="784">
    <w:name w:val="Header"/>
    <w:basedOn w:val="783"/>
    <w:link w:val="785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5" w:customStyle="1">
    <w:name w:val="Header Char"/>
    <w:basedOn w:val="797"/>
    <w:link w:val="784"/>
    <w:uiPriority w:val="99"/>
    <w:pPr>
      <w:pBdr/>
      <w:spacing/>
      <w:ind/>
    </w:pPr>
  </w:style>
  <w:style w:type="paragraph" w:styleId="786">
    <w:name w:val="Footer"/>
    <w:basedOn w:val="783"/>
    <w:link w:val="787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7" w:customStyle="1">
    <w:name w:val="Footer Char"/>
    <w:basedOn w:val="797"/>
    <w:link w:val="786"/>
    <w:uiPriority w:val="99"/>
    <w:pPr>
      <w:pBdr/>
      <w:spacing/>
      <w:ind/>
    </w:pPr>
  </w:style>
  <w:style w:type="paragraph" w:styleId="788">
    <w:name w:val="Heading 1"/>
    <w:basedOn w:val="783"/>
    <w:next w:val="783"/>
    <w:link w:val="801"/>
    <w:uiPriority w:val="9"/>
    <w:qFormat/>
    <w:pPr>
      <w:keepNext w:val="true"/>
      <w:keepLines w:val="true"/>
      <w:pBdr/>
      <w:spacing w:after="0" w:before="480"/>
      <w:ind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89">
    <w:name w:val="Heading 2"/>
    <w:basedOn w:val="783"/>
    <w:next w:val="783"/>
    <w:link w:val="802"/>
    <w:uiPriority w:val="9"/>
    <w:unhideWhenUsed/>
    <w:qFormat/>
    <w:pPr>
      <w:keepNext w:val="true"/>
      <w:keepLines w:val="true"/>
      <w:pBdr/>
      <w:spacing w:after="0" w:before="200"/>
      <w:ind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790">
    <w:name w:val="Heading 3"/>
    <w:basedOn w:val="783"/>
    <w:next w:val="783"/>
    <w:link w:val="803"/>
    <w:uiPriority w:val="9"/>
    <w:unhideWhenUsed/>
    <w:qFormat/>
    <w:pPr>
      <w:keepNext w:val="true"/>
      <w:keepLines w:val="true"/>
      <w:pBdr/>
      <w:spacing w:after="0" w:before="200"/>
      <w:ind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791">
    <w:name w:val="Heading 4"/>
    <w:basedOn w:val="783"/>
    <w:next w:val="783"/>
    <w:link w:val="831"/>
    <w:uiPriority w:val="9"/>
    <w:semiHidden/>
    <w:unhideWhenUsed/>
    <w:qFormat/>
    <w:pPr>
      <w:keepNext w:val="true"/>
      <w:keepLines w:val="true"/>
      <w:pBdr/>
      <w:spacing w:after="0" w:before="200"/>
      <w:ind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792">
    <w:name w:val="Heading 5"/>
    <w:basedOn w:val="783"/>
    <w:next w:val="783"/>
    <w:link w:val="832"/>
    <w:uiPriority w:val="9"/>
    <w:semiHidden/>
    <w:unhideWhenUsed/>
    <w:qFormat/>
    <w:pPr>
      <w:keepNext w:val="true"/>
      <w:keepLines w:val="true"/>
      <w:pBdr/>
      <w:spacing w:after="0" w:before="200"/>
      <w:ind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793">
    <w:name w:val="Heading 6"/>
    <w:basedOn w:val="783"/>
    <w:next w:val="783"/>
    <w:link w:val="833"/>
    <w:uiPriority w:val="9"/>
    <w:semiHidden/>
    <w:unhideWhenUsed/>
    <w:qFormat/>
    <w:pPr>
      <w:keepNext w:val="true"/>
      <w:keepLines w:val="true"/>
      <w:pBdr/>
      <w:spacing w:after="0" w:before="200"/>
      <w:ind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794">
    <w:name w:val="Heading 7"/>
    <w:basedOn w:val="783"/>
    <w:next w:val="783"/>
    <w:link w:val="834"/>
    <w:uiPriority w:val="9"/>
    <w:semiHidden/>
    <w:unhideWhenUsed/>
    <w:qFormat/>
    <w:pPr>
      <w:keepNext w:val="true"/>
      <w:keepLines w:val="true"/>
      <w:pBdr/>
      <w:spacing w:after="0" w:before="200"/>
      <w:ind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795">
    <w:name w:val="Heading 8"/>
    <w:basedOn w:val="783"/>
    <w:next w:val="783"/>
    <w:link w:val="835"/>
    <w:uiPriority w:val="9"/>
    <w:semiHidden/>
    <w:unhideWhenUsed/>
    <w:qFormat/>
    <w:pPr>
      <w:keepNext w:val="true"/>
      <w:keepLines w:val="true"/>
      <w:pBdr/>
      <w:spacing w:after="0" w:before="200"/>
      <w:ind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796">
    <w:name w:val="Heading 9"/>
    <w:basedOn w:val="783"/>
    <w:next w:val="783"/>
    <w:link w:val="836"/>
    <w:uiPriority w:val="9"/>
    <w:semiHidden/>
    <w:unhideWhenUsed/>
    <w:qFormat/>
    <w:pPr>
      <w:keepNext w:val="true"/>
      <w:keepLines w:val="true"/>
      <w:pBdr/>
      <w:spacing w:after="0" w:before="200"/>
      <w:ind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797" w:default="1">
    <w:name w:val="Default Paragraph Font"/>
    <w:uiPriority w:val="1"/>
    <w:semiHidden/>
    <w:unhideWhenUsed/>
    <w:pPr>
      <w:pBdr/>
      <w:spacing/>
      <w:ind/>
    </w:pPr>
  </w:style>
  <w:style w:type="table" w:styleId="798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99" w:default="1">
    <w:name w:val="No List"/>
    <w:uiPriority w:val="99"/>
    <w:semiHidden/>
    <w:unhideWhenUsed/>
    <w:pPr>
      <w:pBdr/>
      <w:spacing/>
      <w:ind/>
    </w:pPr>
  </w:style>
  <w:style w:type="paragraph" w:styleId="800">
    <w:name w:val="No Spacing"/>
    <w:uiPriority w:val="1"/>
    <w:qFormat/>
    <w:pPr>
      <w:pBdr/>
      <w:spacing w:after="0" w:line="240" w:lineRule="auto"/>
      <w:ind/>
    </w:pPr>
  </w:style>
  <w:style w:type="character" w:styleId="801" w:customStyle="1">
    <w:name w:val="Heading 1 Char"/>
    <w:basedOn w:val="797"/>
    <w:link w:val="788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802" w:customStyle="1">
    <w:name w:val="Heading 2 Char"/>
    <w:basedOn w:val="797"/>
    <w:link w:val="789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803" w:customStyle="1">
    <w:name w:val="Heading 3 Char"/>
    <w:basedOn w:val="797"/>
    <w:link w:val="790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804">
    <w:name w:val="Title"/>
    <w:basedOn w:val="783"/>
    <w:next w:val="783"/>
    <w:link w:val="805"/>
    <w:uiPriority w:val="10"/>
    <w:qFormat/>
    <w:pPr>
      <w:pBdr>
        <w:bottom w:val="single" w:color="4f81bd" w:themeColor="accent1" w:sz="8" w:space="4"/>
      </w:pBdr>
      <w:spacing w:after="300" w:line="240" w:lineRule="auto"/>
      <w:ind/>
      <w:contextualSpacing w:val="true"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805" w:customStyle="1">
    <w:name w:val="Title Char"/>
    <w:basedOn w:val="797"/>
    <w:link w:val="804"/>
    <w:uiPriority w:val="10"/>
    <w:pPr>
      <w:pBdr/>
      <w:spacing/>
      <w:ind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806">
    <w:name w:val="Subtitle"/>
    <w:basedOn w:val="783"/>
    <w:next w:val="783"/>
    <w:link w:val="807"/>
    <w:uiPriority w:val="11"/>
    <w:qFormat/>
    <w:pPr>
      <w:numPr>
        <w:ilvl w:val="1"/>
      </w:numPr>
      <w:pBdr/>
      <w:spacing/>
      <w:ind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807" w:customStyle="1">
    <w:name w:val="Subtitle Char"/>
    <w:basedOn w:val="797"/>
    <w:link w:val="806"/>
    <w:uiPriority w:val="11"/>
    <w:pPr>
      <w:pBdr/>
      <w:spacing/>
      <w:ind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808">
    <w:name w:val="List Paragraph"/>
    <w:basedOn w:val="783"/>
    <w:uiPriority w:val="34"/>
    <w:qFormat/>
    <w:pPr>
      <w:pBdr/>
      <w:spacing/>
      <w:ind w:left="720"/>
      <w:contextualSpacing w:val="true"/>
    </w:pPr>
  </w:style>
  <w:style w:type="paragraph" w:styleId="809">
    <w:name w:val="Body Text"/>
    <w:basedOn w:val="783"/>
    <w:link w:val="810"/>
    <w:uiPriority w:val="99"/>
    <w:unhideWhenUsed/>
    <w:pPr>
      <w:pBdr/>
      <w:spacing w:after="120"/>
      <w:ind/>
    </w:pPr>
  </w:style>
  <w:style w:type="character" w:styleId="810" w:customStyle="1">
    <w:name w:val="Body Text Char"/>
    <w:basedOn w:val="797"/>
    <w:link w:val="809"/>
    <w:uiPriority w:val="99"/>
    <w:pPr>
      <w:pBdr/>
      <w:spacing/>
      <w:ind/>
    </w:pPr>
  </w:style>
  <w:style w:type="paragraph" w:styleId="811">
    <w:name w:val="Body Text 2"/>
    <w:basedOn w:val="783"/>
    <w:link w:val="812"/>
    <w:uiPriority w:val="99"/>
    <w:unhideWhenUsed/>
    <w:pPr>
      <w:pBdr/>
      <w:spacing w:after="120" w:line="480" w:lineRule="auto"/>
      <w:ind/>
    </w:pPr>
  </w:style>
  <w:style w:type="character" w:styleId="812" w:customStyle="1">
    <w:name w:val="Body Text 2 Char"/>
    <w:basedOn w:val="797"/>
    <w:link w:val="811"/>
    <w:uiPriority w:val="99"/>
    <w:pPr>
      <w:pBdr/>
      <w:spacing/>
      <w:ind/>
    </w:pPr>
  </w:style>
  <w:style w:type="paragraph" w:styleId="813">
    <w:name w:val="Body Text 3"/>
    <w:basedOn w:val="783"/>
    <w:link w:val="814"/>
    <w:uiPriority w:val="99"/>
    <w:unhideWhenUsed/>
    <w:pPr>
      <w:pBdr/>
      <w:spacing w:after="120"/>
      <w:ind/>
    </w:pPr>
    <w:rPr>
      <w:sz w:val="16"/>
      <w:szCs w:val="16"/>
    </w:rPr>
  </w:style>
  <w:style w:type="character" w:styleId="814" w:customStyle="1">
    <w:name w:val="Body Text 3 Char"/>
    <w:basedOn w:val="797"/>
    <w:link w:val="813"/>
    <w:uiPriority w:val="99"/>
    <w:pPr>
      <w:pBdr/>
      <w:spacing/>
      <w:ind/>
    </w:pPr>
    <w:rPr>
      <w:sz w:val="16"/>
      <w:szCs w:val="16"/>
    </w:rPr>
  </w:style>
  <w:style w:type="paragraph" w:styleId="815">
    <w:name w:val="List"/>
    <w:basedOn w:val="783"/>
    <w:uiPriority w:val="99"/>
    <w:unhideWhenUsed/>
    <w:pPr>
      <w:pBdr/>
      <w:spacing/>
      <w:ind w:hanging="360" w:left="360"/>
      <w:contextualSpacing w:val="true"/>
    </w:pPr>
  </w:style>
  <w:style w:type="paragraph" w:styleId="816">
    <w:name w:val="List 2"/>
    <w:basedOn w:val="783"/>
    <w:uiPriority w:val="99"/>
    <w:unhideWhenUsed/>
    <w:pPr>
      <w:pBdr/>
      <w:spacing/>
      <w:ind w:hanging="360" w:left="720"/>
      <w:contextualSpacing w:val="true"/>
    </w:pPr>
  </w:style>
  <w:style w:type="paragraph" w:styleId="817">
    <w:name w:val="List 3"/>
    <w:basedOn w:val="783"/>
    <w:uiPriority w:val="99"/>
    <w:unhideWhenUsed/>
    <w:pPr>
      <w:pBdr/>
      <w:spacing/>
      <w:ind w:hanging="360" w:left="1080"/>
      <w:contextualSpacing w:val="true"/>
    </w:pPr>
  </w:style>
  <w:style w:type="paragraph" w:styleId="818">
    <w:name w:val="List Bullet"/>
    <w:basedOn w:val="783"/>
    <w:uiPriority w:val="99"/>
    <w:unhideWhenUsed/>
    <w:pPr>
      <w:numPr>
        <w:numId w:val="1"/>
      </w:numPr>
      <w:pBdr/>
      <w:spacing/>
      <w:ind/>
      <w:contextualSpacing w:val="true"/>
    </w:pPr>
  </w:style>
  <w:style w:type="paragraph" w:styleId="819">
    <w:name w:val="List Bullet 2"/>
    <w:basedOn w:val="783"/>
    <w:uiPriority w:val="99"/>
    <w:unhideWhenUsed/>
    <w:pPr>
      <w:numPr>
        <w:numId w:val="2"/>
      </w:numPr>
      <w:pBdr/>
      <w:spacing/>
      <w:ind/>
      <w:contextualSpacing w:val="true"/>
    </w:pPr>
  </w:style>
  <w:style w:type="paragraph" w:styleId="820">
    <w:name w:val="List Bullet 3"/>
    <w:basedOn w:val="783"/>
    <w:uiPriority w:val="99"/>
    <w:unhideWhenUsed/>
    <w:pPr>
      <w:numPr>
        <w:numId w:val="3"/>
      </w:numPr>
      <w:pBdr/>
      <w:spacing/>
      <w:ind/>
      <w:contextualSpacing w:val="true"/>
    </w:pPr>
  </w:style>
  <w:style w:type="paragraph" w:styleId="821">
    <w:name w:val="List Number"/>
    <w:basedOn w:val="783"/>
    <w:uiPriority w:val="99"/>
    <w:unhideWhenUsed/>
    <w:pPr>
      <w:numPr>
        <w:numId w:val="5"/>
      </w:numPr>
      <w:pBdr/>
      <w:spacing/>
      <w:ind/>
      <w:contextualSpacing w:val="true"/>
    </w:pPr>
  </w:style>
  <w:style w:type="paragraph" w:styleId="822">
    <w:name w:val="List Number 2"/>
    <w:basedOn w:val="783"/>
    <w:uiPriority w:val="99"/>
    <w:unhideWhenUsed/>
    <w:pPr>
      <w:numPr>
        <w:numId w:val="6"/>
      </w:numPr>
      <w:pBdr/>
      <w:spacing/>
      <w:ind/>
      <w:contextualSpacing w:val="true"/>
    </w:pPr>
  </w:style>
  <w:style w:type="paragraph" w:styleId="823">
    <w:name w:val="List Number 3"/>
    <w:basedOn w:val="783"/>
    <w:uiPriority w:val="99"/>
    <w:unhideWhenUsed/>
    <w:pPr>
      <w:numPr>
        <w:numId w:val="7"/>
      </w:numPr>
      <w:pBdr/>
      <w:spacing/>
      <w:ind/>
      <w:contextualSpacing w:val="true"/>
    </w:pPr>
  </w:style>
  <w:style w:type="paragraph" w:styleId="824">
    <w:name w:val="List Continue"/>
    <w:basedOn w:val="783"/>
    <w:uiPriority w:val="99"/>
    <w:unhideWhenUsed/>
    <w:pPr>
      <w:pBdr/>
      <w:spacing w:after="120"/>
      <w:ind w:left="360"/>
      <w:contextualSpacing w:val="true"/>
    </w:pPr>
  </w:style>
  <w:style w:type="paragraph" w:styleId="825">
    <w:name w:val="List Continue 2"/>
    <w:basedOn w:val="783"/>
    <w:uiPriority w:val="99"/>
    <w:unhideWhenUsed/>
    <w:pPr>
      <w:pBdr/>
      <w:spacing w:after="120"/>
      <w:ind w:left="720"/>
      <w:contextualSpacing w:val="true"/>
    </w:pPr>
  </w:style>
  <w:style w:type="paragraph" w:styleId="826">
    <w:name w:val="List Continue 3"/>
    <w:basedOn w:val="783"/>
    <w:uiPriority w:val="99"/>
    <w:unhideWhenUsed/>
    <w:pPr>
      <w:pBdr/>
      <w:spacing w:after="120"/>
      <w:ind w:left="1080"/>
      <w:contextualSpacing w:val="true"/>
    </w:pPr>
  </w:style>
  <w:style w:type="paragraph" w:styleId="827">
    <w:name w:val="macro"/>
    <w:link w:val="828"/>
    <w:uiPriority w:val="99"/>
    <w:unhideWhenUsed/>
    <w:pPr>
      <w:pBdr/>
      <w:tabs>
        <w:tab w:val="left" w:leader="none" w:pos="576"/>
        <w:tab w:val="left" w:leader="none" w:pos="1152"/>
        <w:tab w:val="left" w:leader="none" w:pos="1728"/>
        <w:tab w:val="left" w:leader="none" w:pos="2304"/>
        <w:tab w:val="left" w:leader="none" w:pos="2880"/>
        <w:tab w:val="left" w:leader="none" w:pos="3456"/>
        <w:tab w:val="left" w:leader="none" w:pos="4032"/>
      </w:tabs>
      <w:spacing/>
      <w:ind/>
    </w:pPr>
    <w:rPr>
      <w:rFonts w:ascii="Courier" w:hAnsi="Courier"/>
      <w:sz w:val="20"/>
      <w:szCs w:val="20"/>
    </w:rPr>
  </w:style>
  <w:style w:type="character" w:styleId="828" w:customStyle="1">
    <w:name w:val="Macro Text Char"/>
    <w:basedOn w:val="797"/>
    <w:link w:val="827"/>
    <w:uiPriority w:val="99"/>
    <w:pPr>
      <w:pBdr/>
      <w:spacing/>
      <w:ind/>
    </w:pPr>
    <w:rPr>
      <w:rFonts w:ascii="Courier" w:hAnsi="Courier"/>
      <w:sz w:val="20"/>
      <w:szCs w:val="20"/>
    </w:rPr>
  </w:style>
  <w:style w:type="paragraph" w:styleId="829">
    <w:name w:val="Quote"/>
    <w:basedOn w:val="783"/>
    <w:next w:val="783"/>
    <w:link w:val="830"/>
    <w:uiPriority w:val="29"/>
    <w:qFormat/>
    <w:pPr>
      <w:pBdr/>
      <w:spacing/>
      <w:ind/>
    </w:pPr>
    <w:rPr>
      <w:i/>
      <w:iCs/>
      <w:color w:val="000000" w:themeColor="text1"/>
    </w:rPr>
  </w:style>
  <w:style w:type="character" w:styleId="830" w:customStyle="1">
    <w:name w:val="Quote Char"/>
    <w:basedOn w:val="797"/>
    <w:link w:val="829"/>
    <w:uiPriority w:val="29"/>
    <w:pPr>
      <w:pBdr/>
      <w:spacing/>
      <w:ind/>
    </w:pPr>
    <w:rPr>
      <w:i/>
      <w:iCs/>
      <w:color w:val="000000" w:themeColor="text1"/>
    </w:rPr>
  </w:style>
  <w:style w:type="character" w:styleId="831" w:customStyle="1">
    <w:name w:val="Heading 4 Char"/>
    <w:basedOn w:val="797"/>
    <w:link w:val="791"/>
    <w:uiPriority w:val="9"/>
    <w:semiHidden/>
    <w:pPr>
      <w:pBdr/>
      <w:spacing/>
      <w:ind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832" w:customStyle="1">
    <w:name w:val="Heading 5 Char"/>
    <w:basedOn w:val="797"/>
    <w:link w:val="792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833" w:customStyle="1">
    <w:name w:val="Heading 6 Char"/>
    <w:basedOn w:val="797"/>
    <w:link w:val="793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834" w:customStyle="1">
    <w:name w:val="Heading 7 Char"/>
    <w:basedOn w:val="797"/>
    <w:link w:val="794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835" w:customStyle="1">
    <w:name w:val="Heading 8 Char"/>
    <w:basedOn w:val="797"/>
    <w:link w:val="795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836" w:customStyle="1">
    <w:name w:val="Heading 9 Char"/>
    <w:basedOn w:val="797"/>
    <w:link w:val="796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837">
    <w:name w:val="Caption"/>
    <w:basedOn w:val="783"/>
    <w:next w:val="783"/>
    <w:uiPriority w:val="35"/>
    <w:semiHidden/>
    <w:unhideWhenUsed/>
    <w:qFormat/>
    <w:pPr>
      <w:pBdr/>
      <w:spacing w:line="240" w:lineRule="auto"/>
      <w:ind/>
    </w:pPr>
    <w:rPr>
      <w:b/>
      <w:bCs/>
      <w:color w:val="4f81bd" w:themeColor="accent1"/>
      <w:sz w:val="18"/>
      <w:szCs w:val="18"/>
    </w:rPr>
  </w:style>
  <w:style w:type="character" w:styleId="838">
    <w:name w:val="Strong"/>
    <w:basedOn w:val="797"/>
    <w:uiPriority w:val="22"/>
    <w:qFormat/>
    <w:pPr>
      <w:pBdr/>
      <w:spacing/>
      <w:ind/>
    </w:pPr>
    <w:rPr>
      <w:b/>
      <w:bCs/>
    </w:rPr>
  </w:style>
  <w:style w:type="character" w:styleId="839">
    <w:name w:val="Emphasis"/>
    <w:basedOn w:val="797"/>
    <w:uiPriority w:val="20"/>
    <w:qFormat/>
    <w:pPr>
      <w:pBdr/>
      <w:spacing/>
      <w:ind/>
    </w:pPr>
    <w:rPr>
      <w:i/>
      <w:iCs/>
    </w:rPr>
  </w:style>
  <w:style w:type="paragraph" w:styleId="840">
    <w:name w:val="Intense Quote"/>
    <w:basedOn w:val="783"/>
    <w:next w:val="783"/>
    <w:link w:val="841"/>
    <w:uiPriority w:val="30"/>
    <w:qFormat/>
    <w:pPr>
      <w:pBdr>
        <w:bottom w:val="single" w:color="4f81bd" w:themeColor="accent1" w:sz="4" w:space="4"/>
      </w:pBdr>
      <w:spacing w:after="280" w:before="200"/>
      <w:ind w:right="936" w:left="936"/>
    </w:pPr>
    <w:rPr>
      <w:b/>
      <w:bCs/>
      <w:i/>
      <w:iCs/>
      <w:color w:val="4f81bd" w:themeColor="accent1"/>
    </w:rPr>
  </w:style>
  <w:style w:type="character" w:styleId="841" w:customStyle="1">
    <w:name w:val="Intense Quote Char"/>
    <w:basedOn w:val="797"/>
    <w:link w:val="840"/>
    <w:uiPriority w:val="30"/>
    <w:pPr>
      <w:pBdr/>
      <w:spacing/>
      <w:ind/>
    </w:pPr>
    <w:rPr>
      <w:b/>
      <w:bCs/>
      <w:i/>
      <w:iCs/>
      <w:color w:val="4f81bd" w:themeColor="accent1"/>
    </w:rPr>
  </w:style>
  <w:style w:type="character" w:styleId="842">
    <w:name w:val="Subtle Emphasis"/>
    <w:basedOn w:val="797"/>
    <w:uiPriority w:val="19"/>
    <w:qFormat/>
    <w:pPr>
      <w:pBdr/>
      <w:spacing/>
      <w:ind/>
    </w:pPr>
    <w:rPr>
      <w:i/>
      <w:iCs/>
      <w:color w:val="808080" w:themeColor="text1" w:themeTint="7F"/>
    </w:rPr>
  </w:style>
  <w:style w:type="character" w:styleId="843">
    <w:name w:val="Intense Emphasis"/>
    <w:basedOn w:val="797"/>
    <w:uiPriority w:val="21"/>
    <w:qFormat/>
    <w:pPr>
      <w:pBdr/>
      <w:spacing/>
      <w:ind/>
    </w:pPr>
    <w:rPr>
      <w:b/>
      <w:bCs/>
      <w:i/>
      <w:iCs/>
      <w:color w:val="4f81bd" w:themeColor="accent1"/>
    </w:rPr>
  </w:style>
  <w:style w:type="character" w:styleId="844">
    <w:name w:val="Subtle Reference"/>
    <w:basedOn w:val="797"/>
    <w:uiPriority w:val="31"/>
    <w:qFormat/>
    <w:pPr>
      <w:pBdr/>
      <w:spacing/>
      <w:ind/>
    </w:pPr>
    <w:rPr>
      <w:smallCaps/>
      <w:color w:val="c0504d" w:themeColor="accent2"/>
      <w:u w:val="single"/>
    </w:rPr>
  </w:style>
  <w:style w:type="character" w:styleId="845">
    <w:name w:val="Intense Reference"/>
    <w:basedOn w:val="797"/>
    <w:uiPriority w:val="32"/>
    <w:qFormat/>
    <w:pPr>
      <w:pBdr/>
      <w:spacing/>
      <w:ind/>
    </w:pPr>
    <w:rPr>
      <w:b/>
      <w:bCs/>
      <w:smallCaps/>
      <w:color w:val="c0504d" w:themeColor="accent2"/>
      <w:spacing w:val="5"/>
      <w:u w:val="single"/>
    </w:rPr>
  </w:style>
  <w:style w:type="character" w:styleId="846">
    <w:name w:val="Book Title"/>
    <w:basedOn w:val="797"/>
    <w:uiPriority w:val="33"/>
    <w:qFormat/>
    <w:pPr>
      <w:pBdr/>
      <w:spacing/>
      <w:ind/>
    </w:pPr>
    <w:rPr>
      <w:b/>
      <w:bCs/>
      <w:smallCaps/>
      <w:spacing w:val="5"/>
    </w:rPr>
  </w:style>
  <w:style w:type="paragraph" w:styleId="847">
    <w:name w:val="TOC Heading"/>
    <w:basedOn w:val="788"/>
    <w:next w:val="783"/>
    <w:uiPriority w:val="39"/>
    <w:semiHidden/>
    <w:unhideWhenUsed/>
    <w:qFormat/>
    <w:pPr>
      <w:pBdr/>
      <w:spacing/>
      <w:ind/>
      <w:outlineLvl w:val="9"/>
    </w:pPr>
  </w:style>
  <w:style w:type="table" w:styleId="848">
    <w:name w:val="Table Grid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ght Shading"/>
    <w:basedOn w:val="798"/>
    <w:uiPriority w:val="60"/>
    <w:pPr>
      <w:pBdr/>
      <w:spacing w:after="0" w:line="240" w:lineRule="auto"/>
      <w:ind/>
    </w:pPr>
    <w:rPr>
      <w:color w:val="000000" w:themeColor="text1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ght Shading Accent 1"/>
    <w:basedOn w:val="798"/>
    <w:uiPriority w:val="60"/>
    <w:pPr>
      <w:pBdr/>
      <w:spacing w:after="0" w:line="240" w:lineRule="auto"/>
      <w:ind/>
    </w:pPr>
    <w:rPr>
      <w:color w:val="365f91" w:themeColor="accent1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bottom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none" w:color="000000" w:sz="4" w:space="0"/>
          <w:bottom w:val="single" w:color="4f81bd" w:themeColor="accent1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none" w:color="000000" w:sz="4" w:space="0"/>
          <w:bottom w:val="single" w:color="4f81bd" w:themeColor="accen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ght Shading Accent 2"/>
    <w:basedOn w:val="798"/>
    <w:uiPriority w:val="60"/>
    <w:pPr>
      <w:pBdr/>
      <w:spacing w:after="0" w:line="240" w:lineRule="auto"/>
      <w:ind/>
    </w:pPr>
    <w:rPr>
      <w:color w:val="943634" w:themeColor="accent2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bottom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none" w:color="000000" w:sz="4" w:space="0"/>
          <w:bottom w:val="single" w:color="c0504d" w:themeColor="accent2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none" w:color="000000" w:sz="4" w:space="0"/>
          <w:bottom w:val="single" w:color="c0504d" w:themeColor="accent2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ght Shading Accent 3"/>
    <w:basedOn w:val="798"/>
    <w:uiPriority w:val="60"/>
    <w:pPr>
      <w:pBdr/>
      <w:spacing w:after="0" w:line="240" w:lineRule="auto"/>
      <w:ind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bottom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none" w:color="000000" w:sz="4" w:space="0"/>
          <w:bottom w:val="single" w:color="9bbb59" w:themeColor="accent3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none" w:color="000000" w:sz="4" w:space="0"/>
          <w:bottom w:val="single" w:color="9bbb59" w:themeColor="accent3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ght Shading Accent 4"/>
    <w:basedOn w:val="798"/>
    <w:uiPriority w:val="60"/>
    <w:pPr>
      <w:pBdr/>
      <w:spacing w:after="0" w:line="240" w:lineRule="auto"/>
      <w:ind/>
    </w:pPr>
    <w:rPr>
      <w:color w:val="5f497a" w:themeColor="accent4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bottom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none" w:color="000000" w:sz="4" w:space="0"/>
          <w:bottom w:val="single" w:color="8064a2" w:themeColor="accent4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none" w:color="000000" w:sz="4" w:space="0"/>
          <w:bottom w:val="single" w:color="8064a2" w:themeColor="accent4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ght Shading Accent 5"/>
    <w:basedOn w:val="798"/>
    <w:uiPriority w:val="60"/>
    <w:pPr>
      <w:pBdr/>
      <w:spacing w:after="0" w:line="240" w:lineRule="auto"/>
      <w:ind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bottom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none" w:color="000000" w:sz="4" w:space="0"/>
          <w:bottom w:val="single" w:color="4bacc6" w:themeColor="accent5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none" w:color="000000" w:sz="4" w:space="0"/>
          <w:bottom w:val="single" w:color="4bacc6" w:themeColor="accent5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ght Shading Accent 6"/>
    <w:basedOn w:val="798"/>
    <w:uiPriority w:val="60"/>
    <w:pPr>
      <w:pBdr/>
      <w:spacing w:after="0" w:line="240" w:lineRule="auto"/>
      <w:ind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bottom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none" w:color="000000" w:sz="4" w:space="0"/>
          <w:bottom w:val="single" w:color="f79646" w:themeColor="accent6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none" w:color="000000" w:sz="4" w:space="0"/>
          <w:bottom w:val="single" w:color="f79646" w:themeColor="accent6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ght List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ght List Accent 1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ght List Accent 2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ght List Accent 3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ght List Accent 4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ght List Accent 5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ght List Accent 6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ght Grid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ght Grid Accent 1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ght Grid Accent 2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ght Grid Accent 3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ght Grid Accent 4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ght Grid Accent 5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ght Grid Accent 6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Medium Shading 1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Medium Shading 1 Accent 1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Medium Shading 1 Accent 2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Medium Shading 1 Accent 3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Medium Shading 1 Accent 4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Medium Shading 1 Accent 5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Medium Shading 1 Accent 6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Medium Shading 2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Medium Shading 2 Accent 1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Medium Shading 2 Accent 2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Medium Shading 2 Accent 3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Medium Shading 2 Accent 4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Medium Shading 2 Accent 5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Medium Shading 2 Accent 6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Medium List 1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000000" w:themeColor="text1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Medium List 1 Accent 1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bottom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4f81bd" w:themeColor="accent1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Medium List 1 Accent 2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bottom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c0504d" w:themeColor="accent2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Medium List 1 Accent 3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bottom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9bbb59" w:themeColor="accent3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Medium List 1 Accent 4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bottom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8064a2" w:themeColor="accent4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Medium List 1 Accent 5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bottom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4bacc6" w:themeColor="accent5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Medium List 1 Accent 6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bottom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f79646" w:themeColor="accent6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Medium List 2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000000" w:themeColor="text1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000000" w:themeColor="text1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Medium List 2 Accent 1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f81bd" w:themeColor="accent1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4f81bd" w:themeColor="accent1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4f81bd" w:themeColor="accent1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Medium List 2 Accent 2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0504d" w:themeColor="accent2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c0504d" w:themeColor="accent2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c0504d" w:themeColor="accent2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Medium List 2 Accent 3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bb59" w:themeColor="accent3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9bbb59" w:themeColor="accent3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9bbb59" w:themeColor="accent3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9bbb59" w:themeColor="accent3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Medium List 2 Accent 4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064a2" w:themeColor="accent4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8064a2" w:themeColor="accent4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8064a2" w:themeColor="accent4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8064a2" w:themeColor="accent4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Medium List 2 Accent 5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bacc6" w:themeColor="accent5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bacc6" w:themeColor="accent5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4bacc6" w:themeColor="accent5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4bacc6" w:themeColor="accent5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Medium List 2 Accent 6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79646" w:themeColor="accent6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f79646" w:themeColor="accent6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f79646" w:themeColor="accent6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Medium Grid 1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04040" w:themeColor="text1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Medium Grid 1 Accent 1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7ba0cd" w:themeColor="accent1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Medium Grid 1 Accent 2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cf7b79" w:themeColor="accent2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Medium Grid 1 Accent 3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b3cc82" w:themeColor="accent3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Medium Grid 1 Accent 4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9f8ab9" w:themeColor="accent4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Medium Grid 1 Accent 5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78c0d4" w:themeColor="accent5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Medium Grid 1 Accent 6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f9b074" w:themeColor="accent6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Medium Grid 2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6e6e6" w:themeFill="text1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cccccc" w:themeFill="tex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Medium Grid 2 Accent 1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df2f8" w:themeFill="accent1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be5f1" w:themeFill="accen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Medium Grid 2 Accent 2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8eded" w:themeFill="accent2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2dbdb" w:themeFill="accent2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Medium Grid 2 Accent 3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5f8ee" w:themeFill="accent3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af1dd" w:themeFill="accent3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Medium Grid 2 Accent 4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2eff6" w:themeFill="accent4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5dfec" w:themeFill="accent4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Medium Grid 2 Accent 5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df6f9" w:themeFill="accent5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aeef3" w:themeFill="accent5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Medium Grid 2 Accent 6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ef4ec" w:themeFill="accent6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de9d9" w:themeFill="accent6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Medium Grid 3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Medium Grid 3 Accent 1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Medium Grid 3 Accent 2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Medium Grid 3 Accent 3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Medium Grid 3 Accent 4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Medium Grid 3 Accent 5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Medium Grid 3 Accent 6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Dark List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000000" w:themeFill="text1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000000" w:themeFill="tex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Dark List Accent 1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4f81bd" w:themeFill="accent1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243f60" w:themeFill="accen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Dark List Accent 2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c0504d" w:themeFill="accent2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622423" w:themeFill="accent2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Dark List Accent 3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9bbb59" w:themeFill="accent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4e6128" w:themeFill="accent3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Dark List Accent 4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8064a2" w:themeFill="accent4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3f3151" w:themeFill="accent4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Dark List Accent 5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4bacc6" w:themeFill="accent5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205867" w:themeFill="accent5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Dark List Accent 6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79646" w:themeFill="accent6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974706" w:themeFill="accent6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Colorful Shading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Colorful Shading Accent 1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Colorful Shading Accent 2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Colorful Shading Accent 3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8064a2" w:themeColor="accent4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single" w:color="ffffff" w:themeColor="background1" w:sz="6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Colorful Shading Accent 4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9bbb59" w:themeColor="accent3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Colorful Shading Accent 5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Colorful Shading Accent 6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bacc6" w:themeColor="accent5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Colorful List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6e6e6" w:themeFill="tex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ccccc" w:themeFill="text1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Colorful List Accent 1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df2f8" w:themeFill="accen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be5f1" w:themeFill="accent1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Colorful List Accent 2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8eded" w:themeFill="accent2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2dbdb" w:themeFill="accent2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Colorful List Accent 3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5f8ee" w:themeFill="accent3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af1dd" w:themeFill="accent3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664e82" w:themeFill="accent4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664e82" w:themeColor="accent4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Colorful List Accent 4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2eff6" w:themeFill="accent4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5dfec" w:themeFill="accent4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e9c40" w:themeFill="accent3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7e9c40" w:themeColor="accent3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Colorful List Accent 5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df6f9" w:themeFill="accent5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aeef3" w:themeFill="accent5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2730a" w:themeFill="accent6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f2730a" w:themeColor="accent6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Colorful List Accent 6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ef4ec" w:themeFill="accent6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9d9" w:themeFill="accent6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48da5" w:themeFill="accent5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348da5" w:themeColor="accent5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Colorful Grid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Colorful Grid Accent 1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Colorful Grid Accent 2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Colorful Grid Accent 3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Colorful Grid Accent 4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Colorful Grid Accent 5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Colorful Grid Accent 6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ONLYOFFICE/9.0.4.50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modified xsi:type="dcterms:W3CDTF">2025-08-14T18:19:04Z</dcterms:modified>
</cp:coreProperties>
</file>