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xmlns:wp14="http://schemas.microsoft.com/office/word/2010/wordml" w14:paraId="573C9D30" wp14:textId="77777777">
      <w:pPr>
        <w:pStyle w:val="Heading1"/>
      </w:pPr>
      <w:r>
        <w:t>GlobalFinanceGuarantee – Case Studies &amp; Success Stories</w:t>
      </w:r>
    </w:p>
    <w:p xmlns:wp14="http://schemas.microsoft.com/office/word/2010/wordml" w14:paraId="409754E6" wp14:textId="77777777">
      <w:r>
        <w:t>At GlobalFinanceGuarantee (GFG), we take pride in delivering real results for our clients. Our proven track record spans multiple industries, from real estate and infrastructure to trade finance and project development. Below is a selection of success stories that showcase our ability to arrange high-value financial instruments with precision, speed, and compliance.</w:t>
      </w:r>
    </w:p>
    <w:p xmlns:wp14="http://schemas.microsoft.com/office/word/2010/wordml" w14:paraId="375703AC" wp14:textId="77777777">
      <w:pPr>
        <w:pStyle w:val="Heading2"/>
      </w:pPr>
      <w:r>
        <w:t>Case Study #1 – Real Estate Development</w:t>
      </w:r>
    </w:p>
    <w:p xmlns:wp14="http://schemas.microsoft.com/office/word/2010/wordml" w14:paraId="34AC0F30" wp14:textId="77777777">
      <w:r>
        <w:t>**Client:** UK-based property developer</w:t>
      </w:r>
    </w:p>
    <w:p xmlns:wp14="http://schemas.microsoft.com/office/word/2010/wordml" w14:paraId="30E5450C" wp14:textId="77777777">
      <w:r>
        <w:t>**Location:** London, United Kingdom</w:t>
      </w:r>
    </w:p>
    <w:p xmlns:wp14="http://schemas.microsoft.com/office/word/2010/wordml" w14:paraId="3BEFA519" wp14:textId="77777777">
      <w:r>
        <w:t>**Instrument:** £25M Standby Letter of Credit (SBLC)</w:t>
      </w:r>
    </w:p>
    <w:p xmlns:wp14="http://schemas.microsoft.com/office/word/2010/wordml" w14:paraId="032F526C" wp14:textId="77777777">
      <w:r>
        <w:t>**Purpose:** Secure project financing for a luxury residential development in Central London.</w:t>
      </w:r>
    </w:p>
    <w:p xmlns:wp14="http://schemas.microsoft.com/office/word/2010/wordml" w14:paraId="365BA789" wp14:textId="77777777">
      <w:r>
        <w:t>**Challenge:** The client required a high-value SBLC to unlock staged funding from an institutional lender. Speed was critical, as the project faced contractual deadlines with construction partners.</w:t>
      </w:r>
    </w:p>
    <w:p xmlns:wp14="http://schemas.microsoft.com/office/word/2010/wordml" w14:paraId="186C5B4D" wp14:textId="77777777">
      <w:r>
        <w:t>**GFG Solution:** We arranged a £25M SBLC issued under ISP98 from a top-tier European bank. The process included full KYC/AML clearance, legal review of project documents, and coordination with the beneficiary's bank for SWIFT confirmation.</w:t>
      </w:r>
    </w:p>
    <w:p xmlns:wp14="http://schemas.microsoft.com/office/word/2010/wordml" w14:paraId="34A02F75" wp14:textId="77777777">
      <w:r>
        <w:t>**Outcome:** The SBLC was issued within 12 business days, allowing the client to draw the necessary funds and proceed with construction on schedule.</w:t>
      </w:r>
    </w:p>
    <w:p xmlns:wp14="http://schemas.microsoft.com/office/word/2010/wordml" w14:paraId="4CB4FA4C" wp14:textId="77777777">
      <w:r>
        <w:t>**Client Testimonial:**</w:t>
      </w:r>
      <w:r>
        <w:br/>
      </w:r>
      <w:r>
        <w:t>_“GFG delivered exactly what they promised — a fully compliant SBLC from a respected bank, on time and with complete transparency. Their team’s professionalism made a complex process seamless.”_</w:t>
      </w:r>
    </w:p>
    <w:p xmlns:wp14="http://schemas.microsoft.com/office/word/2010/wordml" w14:paraId="3AF9F5EF" wp14:textId="77777777">
      <w:pPr>
        <w:pStyle w:val="Heading2"/>
      </w:pPr>
      <w:r>
        <w:t>Future Case Studies</w:t>
      </w:r>
    </w:p>
    <w:p xmlns:wp14="http://schemas.microsoft.com/office/word/2010/wordml" w14:paraId="5F5FB8A0" wp14:textId="77777777">
      <w:r w:rsidR="3A9EC6A8">
        <w:rPr/>
        <w:t>We regularly update our portfolio of success stories to showcase achievements in different sectors, including:</w:t>
      </w:r>
      <w:r>
        <w:br/>
      </w:r>
      <w:r w:rsidR="3A9EC6A8">
        <w:rPr/>
        <w:t>• International trade finance</w:t>
      </w:r>
      <w:r>
        <w:br/>
      </w:r>
      <w:r w:rsidR="3A9EC6A8">
        <w:rPr/>
        <w:t>• Infrastructure development</w:t>
      </w:r>
      <w:r>
        <w:br/>
      </w:r>
      <w:r w:rsidR="3A9EC6A8">
        <w:rPr/>
        <w:t>• Energy and commodities projects</w:t>
      </w:r>
      <w:r>
        <w:br/>
      </w:r>
      <w:r w:rsidR="3A9EC6A8">
        <w:rPr/>
        <w:t>• Corporate credit enhancement</w:t>
      </w:r>
    </w:p>
    <w:p xmlns:wp14="http://schemas.microsoft.com/office/word/2010/wordml" w14:paraId="432A0531" wp14:textId="77777777">
      <w:pPr>
        <w:pStyle w:val="Heading2"/>
      </w:pPr>
      <w:r>
        <w:t>Case Study #2 – International Trade</w:t>
      </w:r>
    </w:p>
    <w:p xmlns:wp14="http://schemas.microsoft.com/office/word/2010/wordml" w14:paraId="244C3303" wp14:textId="77777777">
      <w:r>
        <w:t>**Client:** European commodity trading company</w:t>
      </w:r>
    </w:p>
    <w:p xmlns:wp14="http://schemas.microsoft.com/office/word/2010/wordml" w14:paraId="5D89A1CC" wp14:textId="77777777">
      <w:r>
        <w:t>**Location:** Rotterdam, Netherlands</w:t>
      </w:r>
    </w:p>
    <w:p xmlns:wp14="http://schemas.microsoft.com/office/word/2010/wordml" w14:paraId="08C9A765" wp14:textId="77777777">
      <w:r>
        <w:t>**Instrument:** €15M Bank Guarantee (BG)</w:t>
      </w:r>
    </w:p>
    <w:p xmlns:wp14="http://schemas.microsoft.com/office/word/2010/wordml" w14:paraId="1873CD66" wp14:textId="77777777">
      <w:r>
        <w:t>**Purpose:** Secure performance obligations for a multi-shipment commodities contract with a major Asian buyer.</w:t>
      </w:r>
    </w:p>
    <w:p xmlns:wp14="http://schemas.microsoft.com/office/word/2010/wordml" w14:paraId="6BDD2E49" wp14:textId="77777777">
      <w:r>
        <w:t>**Challenge:** The client needed a high-value bank guarantee to meet the contractual requirements of an overseas buyer. The guarantee had to be issued by a reputable European bank acceptable to the counterparty, with minimal disruption to ongoing operations.</w:t>
      </w:r>
    </w:p>
    <w:p xmlns:wp14="http://schemas.microsoft.com/office/word/2010/wordml" w14:paraId="5D6499A4" wp14:textId="77777777">
      <w:r>
        <w:t>**GFG Solution:** GFG arranged a €15M BG issued under URDG 758 rules from a top-tier EU bank. We managed the due diligence process, liaised with legal teams on both sides, and coordinated SWIFT transmission to the beneficiary’s bank within the agreed timeline.</w:t>
      </w:r>
    </w:p>
    <w:p xmlns:wp14="http://schemas.microsoft.com/office/word/2010/wordml" w14:paraId="1E967CCC" wp14:textId="77777777">
      <w:r>
        <w:t>**Outcome:** The bank guarantee was issued in 10 business days, enabling the client to proceed with the contract and fulfil their shipping schedule without delay.</w:t>
      </w:r>
    </w:p>
    <w:p xmlns:wp14="http://schemas.microsoft.com/office/word/2010/wordml" w14:paraId="78CC3D9D" wp14:textId="77777777">
      <w:r>
        <w:t>**Client Testimonial:**</w:t>
      </w:r>
      <w:r>
        <w:br/>
      </w:r>
      <w:r>
        <w:t>_“GFG’s deep banking relationships and structured approach meant we could secure a large bank guarantee in record time. They delivered on every commitment, and we’ll be working with them for future deals.”_</w:t>
      </w:r>
    </w:p>
    <w:p xmlns:wp14="http://schemas.microsoft.com/office/word/2010/wordml" w14:paraId="76E5A03E" wp14:textId="77777777">
      <w:pPr>
        <w:pStyle w:val="Heading2"/>
      </w:pPr>
      <w:r>
        <w:t>Case Study #3 – Infrastructure Project</w:t>
      </w:r>
    </w:p>
    <w:p xmlns:wp14="http://schemas.microsoft.com/office/word/2010/wordml" w14:paraId="1C7A857A" wp14:textId="77777777">
      <w:r>
        <w:t>**Client:** Major construction and engineering firm</w:t>
      </w:r>
    </w:p>
    <w:p xmlns:wp14="http://schemas.microsoft.com/office/word/2010/wordml" w14:paraId="2D627271" wp14:textId="77777777">
      <w:r>
        <w:t>**Location:** Middle East</w:t>
      </w:r>
    </w:p>
    <w:p xmlns:wp14="http://schemas.microsoft.com/office/word/2010/wordml" w14:paraId="333507EF" wp14:textId="77777777">
      <w:r>
        <w:t>**Instrument:** $50M Performance Bond</w:t>
      </w:r>
    </w:p>
    <w:p xmlns:wp14="http://schemas.microsoft.com/office/word/2010/wordml" w14:paraId="72538E74" wp14:textId="77777777">
      <w:r>
        <w:t>**Purpose:** Guarantee project completion for a large-scale government-backed infrastructure development.</w:t>
      </w:r>
    </w:p>
    <w:p xmlns:wp14="http://schemas.microsoft.com/office/word/2010/wordml" w14:paraId="31B02FCD" wp14:textId="77777777">
      <w:r>
        <w:t>**Challenge:** The client was awarded a multi-year infrastructure contract and required a performance bond to satisfy the government client’s procurement requirements. The bond had to be issued by a globally recognised bank and delivered within strict tender timelines.</w:t>
      </w:r>
    </w:p>
    <w:p xmlns:wp14="http://schemas.microsoft.com/office/word/2010/wordml" w14:paraId="3ACF95D6" wp14:textId="77777777">
      <w:r>
        <w:t>**GFG Solution:** GFG arranged a $50M performance bond issued under URDG 758 rules from an international bank with strong presence in the Middle East. We coordinated with multiple stakeholders, including the contracting authority, legal counsel, and the issuing bank, to finalise the instrument wording and ensure compliance with local regulations.</w:t>
      </w:r>
    </w:p>
    <w:p xmlns:wp14="http://schemas.microsoft.com/office/word/2010/wordml" w14:paraId="6178FEBD" wp14:textId="77777777">
      <w:r>
        <w:t>**Outcome:** The performance bond was issued in 14 business days, securing the contract award and allowing the client to mobilise resources on schedule.</w:t>
      </w:r>
    </w:p>
    <w:p xmlns:wp14="http://schemas.microsoft.com/office/word/2010/wordml" w14:paraId="7AB7EEC1" wp14:textId="77777777">
      <w:r>
        <w:t>**Client Testimonial:**</w:t>
      </w:r>
      <w:r>
        <w:br/>
      </w:r>
      <w:r>
        <w:t>_“Without GFG’s expertise and rapid execution, we would have missed the tender deadline. They navigated the complex regulatory and banking landscape flawlessly.”_</w:t>
      </w:r>
    </w:p>
    <w:p xmlns:wp14="http://schemas.microsoft.com/office/word/2010/wordml" w14:paraId="2AF9F9D7" wp14:textId="77777777">
      <w:pPr>
        <w:pStyle w:val="Heading1"/>
      </w:pPr>
      <w:r>
        <w:t>Client Testimonials</w:t>
      </w:r>
    </w:p>
    <w:p xmlns:wp14="http://schemas.microsoft.com/office/word/2010/wordml" w14:paraId="416C32F0" wp14:textId="77777777">
      <w:r>
        <w:t>_“GFG exceeded our expectations on every level. Their transparency and efficiency made a complex process stress-free.”_ – International Trade Client</w:t>
      </w:r>
    </w:p>
    <w:p xmlns:wp14="http://schemas.microsoft.com/office/word/2010/wordml" w14:paraId="0E1EDED1" wp14:textId="77777777">
      <w:r>
        <w:t>_“The team delivered our SBLC ahead of schedule, which was critical for our funding timeline.”_ – Real Estate Developer</w:t>
      </w:r>
    </w:p>
    <w:p xmlns:wp14="http://schemas.microsoft.com/office/word/2010/wordml" w14:paraId="360EF018" wp14:textId="77777777">
      <w:r>
        <w:t>_“Professional, responsive, and trustworthy. We consider GFG a long-term partner for all our trade finance needs.”_ – Commodity Trader</w:t>
      </w:r>
    </w:p>
    <w:p xmlns:wp14="http://schemas.microsoft.com/office/word/2010/wordml" w14:paraId="22588A01" wp14:textId="77777777">
      <w:r w:rsidR="3A9EC6A8">
        <w:rPr/>
        <w:t>_“From the first call to instrument delivery, GFG was with us at every step, providing clear updates and guidance.”_ – Infrastructure Project Client</w:t>
      </w:r>
    </w:p>
    <w:p w:rsidR="3A9EC6A8" w:rsidRDefault="3A9EC6A8" w14:paraId="22F8BE38" w14:textId="43667A18"/>
    <w:p w:rsidR="75DF0FAB" w:rsidP="3A9EC6A8" w:rsidRDefault="75DF0FAB" w14:noSpellErr="1" w14:paraId="60656903">
      <w:pPr>
        <w:pStyle w:val="Heading2"/>
      </w:pPr>
      <w:r w:rsidR="75DF0FAB">
        <w:rPr/>
        <w:t>Contact GlobalFinanceGuarantee</w:t>
      </w:r>
    </w:p>
    <w:p w:rsidR="75DF0FAB" w:rsidRDefault="75DF0FAB" w14:noSpellErr="1" w14:paraId="608D16C9">
      <w:r w:rsidR="75DF0FAB">
        <w:rPr/>
        <w:t>📧 Email: contact@globalfinanceguarantee.com</w:t>
      </w:r>
      <w:r>
        <w:br/>
      </w:r>
      <w:r w:rsidR="75DF0FAB">
        <w:rPr/>
        <w:t>🌐 Website: www.globalfinanceguarantee.com</w:t>
      </w:r>
      <w:r>
        <w:br/>
      </w:r>
      <w:r w:rsidR="75DF0FAB">
        <w:rPr/>
        <w:t>📞 Phone: +44 7458 114948</w:t>
      </w:r>
    </w:p>
    <w:p w:rsidR="3A9EC6A8" w:rsidRDefault="3A9EC6A8" w14:paraId="61D7F674" w14:textId="28C051DA"/>
    <w:sectPr w:rsidRPr="0006063C" w:rsidR="00FC693F" w:rsidSect="00034616">
      <w:pgSz w:w="12240" w:h="15840" w:orient="portrait"/>
      <w:pgMar w:top="1440" w:right="1800" w:bottom="1440" w:left="1800" w:header="720" w:footer="720" w:gutter="0"/>
      <w:cols w:space="720"/>
      <w:docGrid w:linePitch="360"/>
      <w:headerReference w:type="default" r:id="Reeec339af33c4ed2"/>
      <w:footerReference w:type="default" r:id="Rb9e8e50897ee496b"/>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880"/>
      <w:gridCol w:w="2880"/>
      <w:gridCol w:w="2880"/>
    </w:tblGrid>
    <w:tr w:rsidR="3A9EC6A8" w:rsidTr="3A9EC6A8" w14:paraId="417C0A3D">
      <w:trPr>
        <w:trHeight w:val="300"/>
      </w:trPr>
      <w:tc>
        <w:tcPr>
          <w:tcW w:w="2880" w:type="dxa"/>
          <w:tcMar/>
        </w:tcPr>
        <w:p w:rsidR="3A9EC6A8" w:rsidP="3A9EC6A8" w:rsidRDefault="3A9EC6A8" w14:paraId="2CBE15C1" w14:textId="08D9C2AA">
          <w:pPr>
            <w:pStyle w:val="Header"/>
            <w:bidi w:val="0"/>
            <w:ind w:left="-115"/>
            <w:jc w:val="left"/>
          </w:pPr>
        </w:p>
      </w:tc>
      <w:tc>
        <w:tcPr>
          <w:tcW w:w="2880" w:type="dxa"/>
          <w:tcMar/>
        </w:tcPr>
        <w:p w:rsidR="3A9EC6A8" w:rsidP="3A9EC6A8" w:rsidRDefault="3A9EC6A8" w14:paraId="16588467" w14:textId="3AE81124">
          <w:pPr>
            <w:pStyle w:val="Header"/>
            <w:bidi w:val="0"/>
            <w:jc w:val="center"/>
          </w:pPr>
        </w:p>
      </w:tc>
      <w:tc>
        <w:tcPr>
          <w:tcW w:w="2880" w:type="dxa"/>
          <w:tcMar/>
        </w:tcPr>
        <w:p w:rsidR="3A9EC6A8" w:rsidP="3A9EC6A8" w:rsidRDefault="3A9EC6A8" w14:paraId="250A0E00" w14:textId="1E1FB3B6">
          <w:pPr>
            <w:pStyle w:val="Header"/>
            <w:bidi w:val="0"/>
            <w:ind w:right="-115"/>
            <w:jc w:val="right"/>
          </w:pPr>
        </w:p>
      </w:tc>
    </w:tr>
  </w:tbl>
  <w:p w:rsidR="3A9EC6A8" w:rsidP="3A9EC6A8" w:rsidRDefault="3A9EC6A8" w14:paraId="34F9D007" w14:textId="20DEFAC7">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2880"/>
      <w:gridCol w:w="2880"/>
      <w:gridCol w:w="2880"/>
    </w:tblGrid>
    <w:tr w:rsidR="3A9EC6A8" w:rsidTr="3A9EC6A8" w14:paraId="4FC09E08">
      <w:trPr>
        <w:trHeight w:val="300"/>
      </w:trPr>
      <w:tc>
        <w:tcPr>
          <w:tcW w:w="2880" w:type="dxa"/>
          <w:tcMar/>
        </w:tcPr>
        <w:p w:rsidR="3A9EC6A8" w:rsidP="3A9EC6A8" w:rsidRDefault="3A9EC6A8" w14:paraId="18B2C592" w14:textId="4561C3BA">
          <w:pPr>
            <w:pStyle w:val="Header"/>
            <w:bidi w:val="0"/>
            <w:ind w:left="-115"/>
            <w:jc w:val="left"/>
          </w:pPr>
        </w:p>
      </w:tc>
      <w:tc>
        <w:tcPr>
          <w:tcW w:w="2880" w:type="dxa"/>
          <w:tcMar/>
        </w:tcPr>
        <w:p w:rsidR="3A9EC6A8" w:rsidP="3A9EC6A8" w:rsidRDefault="3A9EC6A8" w14:paraId="55369EF8" w14:textId="157796D5">
          <w:pPr>
            <w:bidi w:val="0"/>
            <w:jc w:val="center"/>
          </w:pPr>
          <w:r w:rsidR="3A9EC6A8">
            <w:drawing>
              <wp:inline wp14:editId="3DE066CF" wp14:anchorId="009B67C8">
                <wp:extent cx="457200" cy="457200"/>
                <wp:effectExtent l="0" t="0" r="0" b="0"/>
                <wp:docPr id="28429112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284291126" name=""/>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965822048">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rot="0">
                          <a:off xmlns:a="http://schemas.openxmlformats.org/drawingml/2006/main" x="0" y="0"/>
                          <a:ext xmlns:a="http://schemas.openxmlformats.org/drawingml/2006/main" cx="457200" cy="457200"/>
                        </a:xfrm>
                        <a:prstGeom xmlns:a="http://schemas.openxmlformats.org/drawingml/2006/main" prst="rect">
                          <a:avLst xmlns:a="http://schemas.openxmlformats.org/drawingml/2006/main"/>
                        </a:prstGeom>
                      </pic:spPr>
                    </pic:pic>
                  </a:graphicData>
                </a:graphic>
              </wp:inline>
            </w:drawing>
          </w:r>
        </w:p>
      </w:tc>
      <w:tc>
        <w:tcPr>
          <w:tcW w:w="2880" w:type="dxa"/>
          <w:tcMar/>
        </w:tcPr>
        <w:p w:rsidR="3A9EC6A8" w:rsidP="3A9EC6A8" w:rsidRDefault="3A9EC6A8" w14:paraId="208F2CD3" w14:textId="4D567711">
          <w:pPr>
            <w:pStyle w:val="Header"/>
            <w:bidi w:val="0"/>
            <w:ind w:right="-115"/>
            <w:jc w:val="right"/>
          </w:pPr>
        </w:p>
      </w:tc>
    </w:tr>
  </w:tbl>
  <w:p w:rsidR="3A9EC6A8" w:rsidP="3A9EC6A8" w:rsidRDefault="3A9EC6A8" w14:paraId="7F161A3F" w14:textId="4438B1B4">
    <w:pPr>
      <w:pStyle w:val="Header"/>
      <w:bidi w:val="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hint="default" w:ascii="Symbol" w:hAnsi="Symbol"/>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hint="default" w:ascii="Symbol" w:hAnsi="Symbol"/>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hint="default" w:ascii="Symbol" w:hAnsi="Symbol"/>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hint="default" w:ascii="Symbol" w:hAnsi="Symbol"/>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val="bestFit"/>
  <w:proofState w:spelling="clean" w:grammar="dirty"/>
  <w:trackRevisions w:val="false"/>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12DCC333"/>
    <w:rsid w:val="3A9EC6A8"/>
    <w:rsid w:val="546FDC0C"/>
    <w:rsid w:val="75DF0F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15:docId w15:val="{9E9ABC39-A238-4348-9AF9-344D19E2751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hAnsiTheme="majorHAnsi"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hAnsiTheme="majorHAnsi"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hAnsiTheme="majorHAnsi" w:eastAsiaTheme="majorEastAsia"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hAnsiTheme="majorHAnsi" w:eastAsiaTheme="majorEastAsia" w:cstheme="majorBidi"/>
      <w:b/>
      <w:bCs/>
      <w:color w:val="365F91" w:themeColor="accent1" w:themeShade="BF"/>
      <w:sz w:val="28"/>
      <w:szCs w:val="28"/>
    </w:rPr>
  </w:style>
  <w:style w:type="character" w:styleId="Heading2Char" w:customStyle="1">
    <w:name w:val="Heading 2 Char"/>
    <w:basedOn w:val="DefaultParagraphFont"/>
    <w:link w:val="Heading2"/>
    <w:uiPriority w:val="9"/>
    <w:rsid w:val="00FC693F"/>
    <w:rPr>
      <w:rFonts w:asciiTheme="majorHAnsi" w:hAnsiTheme="majorHAnsi" w:eastAsiaTheme="majorEastAsia" w:cstheme="majorBidi"/>
      <w:b/>
      <w:bCs/>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hAnsiTheme="majorHAnsi" w:eastAsiaTheme="majorEastAsia" w:cstheme="majorBidi"/>
      <w:b/>
      <w:bCs/>
      <w:color w:val="4F81BD" w:themeColor="accent1"/>
    </w:rPr>
  </w:style>
  <w:style w:type="paragraph" w:styleId="Title">
    <w:name w:val="Title"/>
    <w:basedOn w:val="Normal"/>
    <w:next w:val="Normal"/>
    <w:link w:val="TitleChar"/>
    <w:uiPriority w:val="10"/>
    <w:qFormat/>
    <w:rsid w:val="00FC693F"/>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FC693F"/>
    <w:rPr>
      <w:rFonts w:asciiTheme="majorHAnsi" w:hAnsiTheme="majorHAnsi"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hAnsiTheme="majorHAnsi" w:eastAsiaTheme="majorEastAsia" w:cstheme="majorBidi"/>
      <w:i/>
      <w:iCs/>
      <w:color w:val="4F81BD" w:themeColor="accent1"/>
      <w:spacing w:val="15"/>
      <w:sz w:val="24"/>
      <w:szCs w:val="24"/>
    </w:rPr>
  </w:style>
  <w:style w:type="character" w:styleId="SubtitleChar" w:customStyle="1">
    <w:name w:val="Subtitle Char"/>
    <w:basedOn w:val="DefaultParagraphFont"/>
    <w:link w:val="Subtitle"/>
    <w:uiPriority w:val="11"/>
    <w:rsid w:val="00FC693F"/>
    <w:rPr>
      <w:rFonts w:asciiTheme="majorHAnsi" w:hAnsiTheme="majorHAnsi" w:eastAsiaTheme="majorEastAsia"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styleId="QuoteChar" w:customStyle="1">
    <w:name w:val="Quote Char"/>
    <w:basedOn w:val="DefaultParagraphFont"/>
    <w:link w:val="Quote"/>
    <w:uiPriority w:val="29"/>
    <w:rsid w:val="00FC693F"/>
    <w:rPr>
      <w:i/>
      <w:iCs/>
      <w:color w:val="000000" w:themeColor="text1"/>
    </w:rPr>
  </w:style>
  <w:style w:type="character" w:styleId="Heading4Char" w:customStyle="1">
    <w:name w:val="Heading 4 Char"/>
    <w:basedOn w:val="DefaultParagraphFont"/>
    <w:link w:val="Heading4"/>
    <w:uiPriority w:val="9"/>
    <w:semiHidden/>
    <w:rsid w:val="00FC693F"/>
    <w:rPr>
      <w:rFonts w:asciiTheme="majorHAnsi" w:hAnsiTheme="majorHAnsi" w:eastAsiaTheme="majorEastAsia" w:cstheme="majorBidi"/>
      <w:b/>
      <w:bCs/>
      <w:i/>
      <w:iCs/>
      <w:color w:val="4F81BD" w:themeColor="accent1"/>
    </w:rPr>
  </w:style>
  <w:style w:type="character" w:styleId="Heading5Char" w:customStyle="1">
    <w:name w:val="Heading 5 Char"/>
    <w:basedOn w:val="DefaultParagraphFont"/>
    <w:link w:val="Heading5"/>
    <w:uiPriority w:val="9"/>
    <w:semiHidden/>
    <w:rsid w:val="00FC693F"/>
    <w:rPr>
      <w:rFonts w:asciiTheme="majorHAnsi" w:hAnsiTheme="majorHAnsi" w:eastAsiaTheme="majorEastAsia" w:cstheme="majorBidi"/>
      <w:color w:val="243F60" w:themeColor="accent1" w:themeShade="7F"/>
    </w:rPr>
  </w:style>
  <w:style w:type="character" w:styleId="Heading6Char" w:customStyle="1">
    <w:name w:val="Heading 6 Char"/>
    <w:basedOn w:val="DefaultParagraphFont"/>
    <w:link w:val="Heading6"/>
    <w:uiPriority w:val="9"/>
    <w:semiHidden/>
    <w:rsid w:val="00FC693F"/>
    <w:rPr>
      <w:rFonts w:asciiTheme="majorHAnsi" w:hAnsiTheme="majorHAnsi" w:eastAsiaTheme="majorEastAsia" w:cstheme="majorBidi"/>
      <w:i/>
      <w:iCs/>
      <w:color w:val="243F60" w:themeColor="accent1" w:themeShade="7F"/>
    </w:rPr>
  </w:style>
  <w:style w:type="character" w:styleId="Heading7Char" w:customStyle="1">
    <w:name w:val="Heading 7 Char"/>
    <w:basedOn w:val="DefaultParagraphFont"/>
    <w:link w:val="Heading7"/>
    <w:uiPriority w:val="9"/>
    <w:semiHidden/>
    <w:rsid w:val="00FC693F"/>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FC693F"/>
    <w:rPr>
      <w:rFonts w:asciiTheme="majorHAnsi" w:hAnsiTheme="majorHAnsi" w:eastAsiaTheme="majorEastAsia" w:cstheme="majorBidi"/>
      <w:color w:val="4F81BD" w:themeColor="accent1"/>
      <w:sz w:val="20"/>
      <w:szCs w:val="20"/>
    </w:rPr>
  </w:style>
  <w:style w:type="character" w:styleId="Heading9Char" w:customStyle="1">
    <w:name w:val="Heading 9 Char"/>
    <w:basedOn w:val="DefaultParagraphFont"/>
    <w:link w:val="Heading9"/>
    <w:uiPriority w:val="9"/>
    <w:semiHidden/>
    <w:rsid w:val="00FC693F"/>
    <w:rPr>
      <w:rFonts w:asciiTheme="majorHAnsi" w:hAnsiTheme="majorHAnsi" w:eastAsiaTheme="majorEastAsia"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microsoft.com/office/2007/relationships/stylesWithEffects" Target="stylesWithEffects.xml" Id="rId4" /><Relationship Type="http://schemas.openxmlformats.org/officeDocument/2006/relationships/settings" Target="settings.xml" Id="rId5" /><Relationship Type="http://schemas.openxmlformats.org/officeDocument/2006/relationships/webSettings" Target="webSettings.xml" Id="rId6" /><Relationship Type="http://schemas.openxmlformats.org/officeDocument/2006/relationships/fontTable" Target="fontTable.xml" Id="rId7" /><Relationship Type="http://schemas.openxmlformats.org/officeDocument/2006/relationships/theme" Target="theme/theme1.xml" Id="rId8" /><Relationship Type="http://schemas.openxmlformats.org/officeDocument/2006/relationships/customXml" Target="../customXml/item1.xml" Id="rId1" /><Relationship Type="http://schemas.openxmlformats.org/officeDocument/2006/relationships/numbering" Target="numbering.xml" Id="rId2" /><Relationship Type="http://schemas.openxmlformats.org/officeDocument/2006/relationships/header" Target="header.xml" Id="Reeec339af33c4ed2" /><Relationship Type="http://schemas.openxmlformats.org/officeDocument/2006/relationships/footer" Target="footer.xml" Id="Rb9e8e50897ee496b" /></Relationships>
</file>

<file path=word/_rels/header.xml.rels>&#65279;<?xml version="1.0" encoding="utf-8"?><Relationships xmlns="http://schemas.openxmlformats.org/package/2006/relationships"><Relationship Type="http://schemas.openxmlformats.org/officeDocument/2006/relationships/image" Target="/media/image.png" Id="rId196582204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python-docx</dc:creator>
  <keywords/>
  <dc:description>generated by python-docx</dc:description>
  <lastModifiedBy>Vice Čuljak</lastModifiedBy>
  <revision>2</revision>
  <dcterms:created xsi:type="dcterms:W3CDTF">2013-12-23T23:15:00.0000000Z</dcterms:created>
  <dcterms:modified xsi:type="dcterms:W3CDTF">2025-08-14T17:23:24.6686127Z</dcterms:modified>
  <category/>
</coreProperties>
</file>